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2011 г. N МД-1552/03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ОСНАЩЕНИИ ОБЩЕОБРАЗОВАТЕЛЬНЫХ УЧРЕЖДЕНИЙ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УЧЕБНЫМ И УЧЕБНО-ЛАБОРАТОРНЫМ ОБОРУДОВАНИЕМ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образования и науки Российской Федерации направляет </w:t>
      </w:r>
      <w:hyperlink w:anchor="Par2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</w:t>
      </w:r>
      <w:hyperlink w:anchor="Par2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М.В.ДУЛИНОВ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РЕКОМЕНДАЦИИ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ОСНАЩЕНИЮ ОБЩЕОБРАЗОВАТЕЛЬНЫХ УЧРЕЖДЕНИЙ УЧЕБНЫМ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УЧЕБНО-ЛАБОРАТОРНЫМ ОБОРУДОВАНИЕМ, НЕОБХОДИМЫМ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ФЕДЕРАЛЬНОГО ГОСУДАРСТВЕННОГО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СТАНДАРТА (ФГОС) ОСНОВНОГО ОБЩЕГО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ОРГАНИЗАЦИИ ПРОЕКТНОЙ ДЕЯТЕЛЬНОСТИ,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МОДЕЛИРОВАНИЯ И ТЕХНИЧЕСКОГО ТВОРЧЕСТВА ОБУЧАЮЩИХСЯ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1. Пояснительная записка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1.1. Цели и назначение Рекомендаций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</w:t>
      </w:r>
      <w:r>
        <w:rPr>
          <w:rFonts w:ascii="Calibri" w:hAnsi="Calibri" w:cs="Calibri"/>
        </w:rPr>
        <w:lastRenderedPageBreak/>
        <w:t>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образовательного процесса должно обеспечивать возможность: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формирования у обучающихся опыта самостоятельной образовательной, общественной, проектно-исследовательской деятельности;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включения обучающихся в проектную и учебно-исследовательскую деятельность;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проектирования и конструирования, управления объектами, программирования;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создания обучающимися материальных и информационных объектов.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обучающихся.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1.2. Нормативные основания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Предлагаемые Рекомендации разработаны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7</w:t>
        </w:r>
      </w:hyperlink>
      <w:r>
        <w:rPr>
          <w:rFonts w:ascii="Calibri" w:hAnsi="Calibri" w:cs="Calibri"/>
        </w:rPr>
        <w:t xml:space="preserve"> Закона РФ "Об </w:t>
      </w:r>
      <w:r>
        <w:rPr>
          <w:rFonts w:ascii="Calibri" w:hAnsi="Calibri" w:cs="Calibri"/>
        </w:rPr>
        <w:lastRenderedPageBreak/>
        <w:t xml:space="preserve">образовании" &lt;1&gt;, ФГОС ООО, Федеральными </w:t>
      </w:r>
      <w:hyperlink r:id="rId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условиям и организации обучения в общеобразовательных учреждениях &lt;3&gt;, Федеральными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образовательным учреждениям в части охраны здоровья обучающихся, воспитанников &lt;4&gt;, </w:t>
      </w:r>
      <w:hyperlink r:id="rId10" w:history="1">
        <w:r>
          <w:rPr>
            <w:rFonts w:ascii="Calibri" w:hAnsi="Calibri" w:cs="Calibri"/>
            <w:color w:val="0000FF"/>
          </w:rPr>
          <w:t>ГОСТ Р52653-2006</w:t>
        </w:r>
      </w:hyperlink>
      <w:r>
        <w:rPr>
          <w:rFonts w:ascii="Calibri" w:hAnsi="Calibri" w:cs="Calibri"/>
        </w:rPr>
        <w:t xml:space="preserve"> "Информационно-коммуникационные технологии в образовании. Термины и определения", ГОСТ Р53626-2009 "Информационно-коммуникационные технологии в образовании. Технические средства обучения. Общие положения", </w:t>
      </w:r>
      <w:hyperlink r:id="rId11" w:history="1">
        <w:r>
          <w:rPr>
            <w:rFonts w:ascii="Calibri" w:hAnsi="Calibri" w:cs="Calibri"/>
            <w:color w:val="0000FF"/>
          </w:rPr>
          <w:t>СанПиН 2.2.2/2.4.1340-03</w:t>
        </w:r>
      </w:hyperlink>
      <w:r>
        <w:rPr>
          <w:rFonts w:ascii="Calibri" w:hAnsi="Calibri" w:cs="Calibri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 (в действующей редакции).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Федеральные </w:t>
      </w:r>
      <w:hyperlink r:id="rId1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&lt;3&gt; </w:t>
      </w:r>
      <w:hyperlink r:id="rId14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Федеральные </w:t>
      </w:r>
      <w:hyperlink r:id="rId1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1.3. Область применения Рекомендаций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 оснащения и оборудования образовательного процесса.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2. Комплектно-модульное построение оснащения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общеобразовательного учреждения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оснащение образовательного учреждения обеспечивают три взаимосвязанных комплекта: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общешкольное оснащение;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оснащение предметных кабинетов;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оснащение, обеспечивающее организацию внеурочной деятельности, в том числе </w:t>
      </w:r>
      <w:r>
        <w:rPr>
          <w:rFonts w:ascii="Calibri" w:hAnsi="Calibri" w:cs="Calibri"/>
        </w:rPr>
        <w:lastRenderedPageBreak/>
        <w:t>моделирование, научно-техническое творчество, учебно-исследовательская и проектная деятельность.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3. Оснащение общеобразовательного учреждения,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реализующего основную образовательную программу основного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Оснащение образовательного учреждения должно формироваться на основе следующих принципов: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требованиям ФГОС ООО, обеспечение преемственности с оснащением для начального общего образования;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 возрастных психолого-педагогических особенностей обучающихся;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эргономичного режима работы участников образовательного процесса;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согласованность совместного использования (содержательная, функциональная, технологическая, программная и пр.);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Совокупность комплектов оснащения должна обеспечивать возможность: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</w:t>
      </w:r>
      <w:r>
        <w:rPr>
          <w:rFonts w:ascii="Calibri" w:hAnsi="Calibri" w:cs="Calibri"/>
        </w:rPr>
        <w:lastRenderedPageBreak/>
        <w:t>обучающихся;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использования современных образовательных технологий в учебной и внеурочной деятельности;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электронной форме: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управлять образовательным процессом;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 и редактировать электронные таблицы, тексты и презентации;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формировать и отрабатывать навыки клавиатурного письма;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создавать, обрабатывать и редактировать звук;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создавать, обрабатывать и редактировать растровые, векторные и видеоизображения;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работать с геоинформационными системами, картографической информацией, планами объектов и местности;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визуализировать исторические данные (создавать ленты времени и др.);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Среда деятельности учителя и учащегося должна обеспечивать возможность: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строить динамические компьютерные модели объектов и процессов;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виртуальные эксперименты и анализ полученных при этом результатов;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анализировать зависимость поведения рассматриваемого объекта от его параметров, начальных и граничных условий;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выдвигать гипотезы, объясняющие ход исследуемых процессов;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сравнивать виртуальные процессы с наблюдаемыми в реальном эксперименте и с математическими моделями процессов.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2"/>
      <w:bookmarkEnd w:id="8"/>
      <w:r>
        <w:rPr>
          <w:rFonts w:ascii="Calibri" w:hAnsi="Calibri" w:cs="Calibri"/>
        </w:rPr>
        <w:t>4. Общешкольное оснащение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5. Общие рекомендации по оснащению учебных кабинетов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основной ступени общего образования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учителя и значительное число других экспериментов.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Традиционные средства обучения по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Рекомендуемое оснащение учебных кабинетов для основной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ступени общего образования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Наименование    │      Состав и       │  Количественный состав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модуля       │   предназначение    │   автоматизированного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оборудования,    │      рабочего места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входящего в модуль  ├────────────┬─────────────┤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         │  педагога  │ обучающихся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│          3          │     4      │      5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48"/>
      <w:bookmarkEnd w:id="11"/>
      <w:r>
        <w:rPr>
          <w:rFonts w:ascii="Courier New" w:hAnsi="Courier New" w:cs="Courier New"/>
          <w:sz w:val="20"/>
          <w:szCs w:val="20"/>
        </w:rPr>
        <w:t>│ 1. │Модуль: технические средства обучения                  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│1.1.│Специализированный │СПАК         является│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│программно-        │составной      частью│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   педагога│образовательной среды│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│(СПАК)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│профессиональных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│задач   педагога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│технические  средства│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│скоммутированы  между│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│собой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включает: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│1.  Персональный  или│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│(ноутбук)  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│обеспечением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Интерактивное│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│2.1.    Интерактивная│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│доска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│2.2.         Проектор│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│мультимедийный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├─────────────────────┼────────────┼─────────────┤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│2.3.     Визуализатор│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│цифровой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│3.  Оборудование  для│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│тестирования качества│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│знаний обучающихся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│4.      Копировально-│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│множительная техника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│4.1.        Печатное,│   1 ед.  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│копировальное,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│сканирующие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│устройства (отдельные│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│элементы или  в  виде│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│многофункционального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│устройства,         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│соответствии с целями│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     задачами│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│использования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       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│образовательном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│процессе)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│5.             Прочее│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│Аппаратное          и│  1 компл.  │      x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│управление    учебным│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 со статическими│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│работу     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│визуализирование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│(создание       ленты│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│образования;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│проведение  различных│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│подготовки          к│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│взаимодействия  между│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│участниками  учебного│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│(посредством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│глобальных    сетей),│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│формируемых  в   ходе│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процесса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│решения         задач│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│безопасного доступа к│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│Интерактивное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│предназначено   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│визуализации учебного│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│материала,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│полученного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│цифровых и нецифровых│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│носителей,         на│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│интерактивном экране,│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│сохранения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│достижений   (в   том│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│числе    формирование│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│портфолио)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│Копировально-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│множительная  техника│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│предназначена   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│тиражирования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 материала,│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│сохранения в цифровом│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│формате   результатов│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│достижений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│(формирование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│портфолио)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│обучающихся.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│включает    фото-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│гарнитуру, устройства│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│1.2.│Специализированный │СПАК         является│     x      │    1 ед.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│программно-        │составной      частью│            │  на 1 чел.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│аппаратный         │информационно-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           │образовательной среды│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│обучающихся (СПАК)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│обеспечивает  решение│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│учебно-познавательных│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│задач  обучающихся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│применением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│информационно-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│коммуникационных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│технологий     (ИКТ).│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        должен│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  сетевое│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│взаимодействие   всех│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│участников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│процесса.         Все│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│технические средства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  должны    быть│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│скоммутированы  между│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│собой.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│СПАК включает:       │     x      │  1 компл.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│1.  Персональный  или│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│мобильный   компьютер│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│(ноутбук)  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│предустановленным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│программным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│обеспечением.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       Прочее│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│оборудование.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│Аппаратное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│компьютера     должно│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│обеспечивать: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│управление    учебным│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│процессом; создание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│электронных   таблиц,│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 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│презентаций;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звука;│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│создание, обработку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│растровых,  векторных│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видеоизображений;│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│создание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│редактирование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│интерактивных учебных│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│образовательных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│ресурсов,  творческих│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 со статическими│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динамическими│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│графическими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│текстовыми объектами;│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│работу     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│геоинформационными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│системами,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│картографической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│информацией,  планами│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│объектов и местности;│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│визуализирование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│исторических   данных│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│(создание       ленты│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│времени    и    др.);│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│размещения,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│систематизирования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│хранения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│(накапливания)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│материалов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│процесса;  проведение│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│мониторинга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│фиксацию         хода│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процесса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освоения│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│основной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│программы      общего│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│образования;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│проведение  различных│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│видов и форм контроля│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│знаний,   умений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│навыков,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│адаптивной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│(дифференцированной)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│подготовки          к│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│государственной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│(итоговой)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│аттестации;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│осуществление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│взаимодействия  между│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│участниками  учебного│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│процесса, в том числе│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│дистанционное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│(посредством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│локальных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│глобальных     сетей)│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 данных,│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│формируемых  в   ходе│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│учебного    процесса,│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решения   задач│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│управления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│образовательной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│деятельностью;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│возможность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│безопасного доступа к│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│печатным 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│электронным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│образовательным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│ресурсам    и     пр.│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│Программное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│обеспечение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│компьютеров  педагога│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обучающихся  должно│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│иметь      одинаковый│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│интерфейс.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│Прочее   оборудование│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│включает    фото-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│(или) видеотехнику,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│гарнитуры,       веб-│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│камеры,   графические│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│планшеты,  устройства│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│для        коммутации│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│оборудования,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│устройства      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│организации локальной│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│беспроводной  сети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  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│1.3.│Универсальная      │Универсальная        │   1 ед.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│платформа       для│платформа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│перемещения,       │обеспечивает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│хранения          и│межпредметное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│подзарядки         │(межкабинетное)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│портативных        │использование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│компьютеров,       │оборудования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│прочего    учебного│     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│оборудования       │     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90"/>
      <w:bookmarkEnd w:id="12"/>
      <w:r>
        <w:rPr>
          <w:rFonts w:ascii="Courier New" w:hAnsi="Courier New" w:cs="Courier New"/>
          <w:sz w:val="20"/>
          <w:szCs w:val="20"/>
        </w:rPr>
        <w:t>│ 2. │        Модуль: лабораторное и демонстрационное оборудование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│2.1.│Обучающая  цифровая│Может            быть│один        │по     одному│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│лабораторная       │представлена  в  виде│комплект    │комплекту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│учебная техника    │полнофункционального │демонстраци-│оборудования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│мобильного   и  (или)│онного обо- │на  4   -   6│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│стационарного        │рудования   │чел.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│лабораторного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│комплекса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│(комплексов),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│предназначенного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│организации  учебной,│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│учебно-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│исследовательской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│деятельности,   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│формирования        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│обучающихся   навыков│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│цифрового   измерения│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│результатов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│проведения   натурных│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       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│пределах     учебного│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│помещения и вне его.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│Обучающая    цифровая│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│лабораторная  учебная│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│техника включает: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│1. Комплект цифрового│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│измерительного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   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│проведения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│естественнонаучных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│экспериментов.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│2.           Цифровой│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│микроскоп.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│3.           Комплект│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│лабораторных приборов│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       инструментов,│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│микропрепаратов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│пр.,   обеспечивающих│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│корректную постановку│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│наблюдений, опытов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│цифровой лабораторной│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│учебной техники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│2.2.│Обучающая          │Может            быть│один        │по     одному│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│традиционная       │представлена наборами│комплект    │комплекту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│лабораторная       │традиционных         │демонстра-  │оборудования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│учебная техника    │лабораторных         │ционного    │на  4   -   6│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│приборов,            │оборудования│чел.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│используемых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│обучающимися      при│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│постановке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│экспериментов,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│наблюдений, опытов по│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│программам    учебных│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│предметов 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│внеурочной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│деятельности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│2.3.│Учебная     техника│Может            быть│     X      │по     одному│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      отработки│представлена наборами│            │комплекту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│практических       │конструкторов,       │            │оборудования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│действий          и│робототехники,       │            │на  4   -   6│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│навыков,           │тренажерами  и   пр.,│            │чел.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│проектирования и   │предназначенными  для│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│конструирования    │моделирования,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│технического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│творчества  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│проектной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│деятельности,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│отработки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│практических  навыков│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             области│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│безопасности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│жизнедеятельности,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│трудовых  навыков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│пр.     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571"/>
      <w:bookmarkEnd w:id="13"/>
      <w:r>
        <w:rPr>
          <w:rFonts w:ascii="Courier New" w:hAnsi="Courier New" w:cs="Courier New"/>
          <w:sz w:val="20"/>
          <w:szCs w:val="20"/>
        </w:rPr>
        <w:t>│ 3. │               Модуль: наглядные пособия по предметам  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│3.1.│Наглядные   пособия│Могут            быть│один        │по     одному│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предметам       │представлены  учебной│комплект    │комплекту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│техникой,            │демонстраци-│оборудования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│обеспечивающей       │онного      │на     одного│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│визуально-звуковое   │оборудования│или    группу│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│представление объекта│            │обучающихся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│изучения.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│Наглядные пособия  по│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│предметам включают: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│электронные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│образовательные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│ресурсы   (ЭОР),    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│также   традиционные:│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│объемные  пособия   -│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│макеты,       модели,│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│слепки,       муляжи,│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│глобусы    и    т.д.;│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│плоскостные пособия -│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│таблицы,     картины,│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│фотографии,    карты,│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│схемы, чертежи и т.п.│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595"/>
      <w:bookmarkEnd w:id="14"/>
      <w:r>
        <w:rPr>
          <w:rFonts w:ascii="Courier New" w:hAnsi="Courier New" w:cs="Courier New"/>
          <w:sz w:val="20"/>
          <w:szCs w:val="20"/>
        </w:rPr>
        <w:t>│ 4. │            Модуль: информационно-методическая поддержка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педагогического работника        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│4.1.│Методические       │Материалы      должны│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│материалы       для│содержать руководство│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│педагогического    │пользователя       по│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│работника        по│подключению,  наладке│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│использованию      │комплекта         или│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   │отдельных     модулей│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│или       отдельных│комплекта,   описание│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│компонентов        │конструктивных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  в│особенностей      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│образовательном    │технологии работы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│процессе           │с      оборудованием,│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│примеры  практической│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│работы      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│оборудованием,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│описание      порядка│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│постановки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│экспериментов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│использованием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│оборудования и пр.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│4.2.│Программы  (модули,│Разработанные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│курсы)    повышения│программы    (модули,│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│квалификации       │курсы) могут являться│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│педагогических     │частью       программ│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│работников       по│повышения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│использованию      │квалификации,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или│обеспечивающих      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│отдельных          │соответствии        с│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│компонентов        │требованиями ФГОС ООО│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│комплекта         в│непрерывность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│образовательном    │профессионального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│процессе           │развития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│педагогических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│работников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│образовательного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│учреждения, в  объеме│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│не менее 108 часов  и│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│не реже одного раза в│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│пять лет             │            │             │</w:t>
      </w:r>
    </w:p>
    <w:p w:rsidR="00547A18" w:rsidRDefault="00547A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639"/>
      <w:bookmarkEnd w:id="15"/>
      <w:r>
        <w:rPr>
          <w:rFonts w:ascii="Calibri" w:hAnsi="Calibri" w:cs="Calibri"/>
        </w:rPr>
        <w:t>6. Оснащение, обеспечивающее организацию внеурочной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обучающихся, в том числе моделирование,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техническое творчество и проектную деятельность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обучающихся должна быть обеспечена необходимыми расходными материалами.</w:t>
      </w: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A18" w:rsidRDefault="00547A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A4B" w:rsidRDefault="00816A4B"/>
    <w:sectPr w:rsidR="00816A4B" w:rsidSect="001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A18"/>
    <w:rsid w:val="000D3722"/>
    <w:rsid w:val="0022451D"/>
    <w:rsid w:val="002E21CF"/>
    <w:rsid w:val="0030648D"/>
    <w:rsid w:val="00367428"/>
    <w:rsid w:val="00547A18"/>
    <w:rsid w:val="00785684"/>
    <w:rsid w:val="00816A4B"/>
    <w:rsid w:val="009F7B27"/>
    <w:rsid w:val="00A81E43"/>
    <w:rsid w:val="00A93BE1"/>
    <w:rsid w:val="00B24996"/>
    <w:rsid w:val="00B755E2"/>
    <w:rsid w:val="00C119B4"/>
    <w:rsid w:val="00E53BC6"/>
    <w:rsid w:val="00E646B2"/>
    <w:rsid w:val="00E943A2"/>
    <w:rsid w:val="00EC3E44"/>
    <w:rsid w:val="00ED2FF5"/>
    <w:rsid w:val="00F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47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7A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5C1F7D8DFE1018F6129E9596B13CB2ACD980147CB967A3BD39E59B1400EC39CC37109667ACF20c0s4E" TargetMode="External"/><Relationship Id="rId13" Type="http://schemas.openxmlformats.org/officeDocument/2006/relationships/hyperlink" Target="consultantplus://offline/ref=5C95C1F7D8DFE1018F6129E9596B13CB2ACA980B47C8967A3BD39E59B1400EC39CC37109667ACF20c0s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5C1F7D8DFE1018F6129E9596B13CB2ACA980B47C8967A3BD39E59B1400EC39CC37109667ACF20c0s4E" TargetMode="External"/><Relationship Id="rId12" Type="http://schemas.openxmlformats.org/officeDocument/2006/relationships/hyperlink" Target="consultantplus://offline/ref=5C95C1F7D8DFE1018F6129E9596B13CB2AC89F0F43CE967A3BD39E59B1c4s0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5C1F7D8DFE1018F6129E9596B13CB2AC89F0F43CE967A3BD39E59B1400EC39CC3710C66c7sAE" TargetMode="External"/><Relationship Id="rId11" Type="http://schemas.openxmlformats.org/officeDocument/2006/relationships/hyperlink" Target="consultantplus://offline/ref=5C95C1F7D8DFE1018F6137F24C6B13CB2ACB9E0841CB967A3BD39E59B1400EC39CC37109667ACF20c0s5E" TargetMode="External"/><Relationship Id="rId5" Type="http://schemas.openxmlformats.org/officeDocument/2006/relationships/hyperlink" Target="consultantplus://offline/ref=5C95C1F7D8DFE1018F6129E9596B13CB2ACA980A46CC967A3BD39E59B1400EC39CC37109667ACA22c0sEE" TargetMode="External"/><Relationship Id="rId15" Type="http://schemas.openxmlformats.org/officeDocument/2006/relationships/hyperlink" Target="consultantplus://offline/ref=5C95C1F7D8DFE1018F6129E9596B13CB2ACA980A43C8967A3BD39E59B1400EC39CC37109667ACF20c0s7E" TargetMode="External"/><Relationship Id="rId10" Type="http://schemas.openxmlformats.org/officeDocument/2006/relationships/hyperlink" Target="consultantplus://offline/ref=5C95C1F7D8DFE1018F613EEB4B6B13CB2FCB910A43CA967A3BD39E59B1c4s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95C1F7D8DFE1018F6129E9596B13CB2ACA980A43C8967A3BD39E59B1400EC39CC37109667ACF22c0s0E" TargetMode="External"/><Relationship Id="rId14" Type="http://schemas.openxmlformats.org/officeDocument/2006/relationships/hyperlink" Target="consultantplus://offline/ref=5C95C1F7D8DFE1018F6129E9596B13CB2ACD980147CB967A3BD39E59B1400EC39CC37109667ACF20c0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9147</Words>
  <Characters>52143</Characters>
  <Application>Microsoft Office Word</Application>
  <DocSecurity>0</DocSecurity>
  <Lines>434</Lines>
  <Paragraphs>122</Paragraphs>
  <ScaleCrop>false</ScaleCrop>
  <Company>Microsoft</Company>
  <LinksUpToDate>false</LinksUpToDate>
  <CharactersWithSpaces>61168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2015-02-16T04:44:00Z</dcterms:created>
  <dcterms:modified xsi:type="dcterms:W3CDTF">2015-02-16T04:45:00Z</dcterms:modified>
</cp:coreProperties>
</file>